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E9" w:rsidRDefault="002E28E9" w:rsidP="002E28E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7C5731">
        <w:rPr>
          <w:rFonts w:ascii="Arial" w:hAnsi="Arial" w:cs="Arial"/>
          <w:b/>
          <w:color w:val="2C2D2E"/>
          <w:sz w:val="23"/>
          <w:szCs w:val="23"/>
        </w:rPr>
        <w:t>Уголовная ответственность за вовлечение несовершеннолетних к совершению антиобщественных действий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Уголовная ответственность за вовлечение несовершеннолетнего в совершение антиобщественных действий предусмотрена ст.151 УК РФ.</w:t>
      </w:r>
    </w:p>
    <w:p w:rsidR="002E28E9" w:rsidRDefault="002E28E9" w:rsidP="002E28E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Под антиобщественными действиями понимается вовлечение несовершеннолетнего в систематическое употребление (распитие) алкогольной и спиртосодержащей продукции, одурманивающих веществ, занятие бродяжничеством или попрошайничеством.</w:t>
      </w:r>
    </w:p>
    <w:p w:rsidR="002E28E9" w:rsidRDefault="002E28E9" w:rsidP="002E28E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Под вовлечением следует понимать действия взрослого лица, направленные на возбуждение у несовершеннолетнего лица желания совершить антиобщественные действия. Действия взрослого лица могут выражаться как в форме обещаний, обмана и угроз, так и в форме предложения совершить антиобщественные действия, разжигания чувства зависти, мести и иных действий.</w:t>
      </w:r>
    </w:p>
    <w:p w:rsidR="002E28E9" w:rsidRDefault="002E28E9" w:rsidP="002E28E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 уголовной ответственности привлекается лицо, достигшее 18-летнего возраста.</w:t>
      </w:r>
    </w:p>
    <w:p w:rsidR="002E28E9" w:rsidRDefault="002E28E9" w:rsidP="002E28E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78"/>
    <w:rsid w:val="002E28E9"/>
    <w:rsid w:val="00D32D0C"/>
    <w:rsid w:val="00E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7E44E-FC29-4D94-9537-9499567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2024-06-28T18:13:00Z</dcterms:created>
  <dcterms:modified xsi:type="dcterms:W3CDTF">2024-06-28T18:13:00Z</dcterms:modified>
</cp:coreProperties>
</file>